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桃红中学</w:t>
      </w:r>
      <w:r>
        <w:rPr>
          <w:rFonts w:hint="eastAsia"/>
          <w:sz w:val="44"/>
          <w:szCs w:val="44"/>
        </w:rPr>
        <w:t>阳光体育大课间活动实施方案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适应新形势下实施素质教育的需要，更好的开展中学“阳光大课间”活动，把大课间活动纳入日常教育教学计划之中，将活动与体育课、课间操和课外体育活动有机结合，充分利用场地条件，结合季节气候特点以及传统校园体育健身活动安排，遵循实事求是、因地制宜、循序渐进的原则，制定针对性和操作性强的实施方案，以班级为单位，分阶段每天组织学生进行大课间活动，保证学生每天一小时的体育活动时间，有计划、有组织的开展学校大课间活动，经校领导班子研究决定，特制定《</w:t>
      </w:r>
      <w:r>
        <w:rPr>
          <w:rFonts w:hint="eastAsia"/>
          <w:sz w:val="28"/>
          <w:szCs w:val="28"/>
          <w:lang w:eastAsia="zh-CN"/>
        </w:rPr>
        <w:t>桃红</w:t>
      </w:r>
      <w:r>
        <w:rPr>
          <w:rFonts w:hint="eastAsia"/>
          <w:sz w:val="28"/>
          <w:szCs w:val="28"/>
        </w:rPr>
        <w:t>中学阳光体育大课间活动实施方案》。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一、指导思想 开展“阳光大课间”活动，以“走向操场、走进大自然、走到阳光下” 为活动主题。旨在全面贯彻落实“健康第一”指导思想，落实学生每天体育活动一小时，全面推进素质教育，提高学生身体素质，增进学生身心健康，真正为学生未来可持续发展奠基。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实施原则 1、全体性原则。大课间活动的开展做到面向全体学生，人人参与活动，个个都有喜爱项目。达到全体健身、全员愉悦的目的。 2、科学性原则。遵循学生身心发展的规律，我校从实际出发，合理安排大课间活动的计划和内容。 3、因地制宜原则。根据我校场地的特点，为达到锻炼的效果，大课间活动开设了跑</w:t>
      </w:r>
      <w:r>
        <w:rPr>
          <w:rFonts w:hint="eastAsia"/>
          <w:sz w:val="28"/>
          <w:szCs w:val="28"/>
          <w:lang w:eastAsia="zh-CN"/>
        </w:rPr>
        <w:t>操</w:t>
      </w:r>
      <w:r>
        <w:rPr>
          <w:rFonts w:hint="eastAsia"/>
          <w:sz w:val="28"/>
          <w:szCs w:val="28"/>
        </w:rPr>
        <w:t>、跳绳、</w:t>
      </w:r>
      <w:r>
        <w:rPr>
          <w:rFonts w:hint="eastAsia"/>
          <w:sz w:val="28"/>
          <w:szCs w:val="28"/>
          <w:lang w:eastAsia="zh-CN"/>
        </w:rPr>
        <w:t>立定跳远</w:t>
      </w:r>
      <w:r>
        <w:rPr>
          <w:rFonts w:hint="eastAsia"/>
          <w:sz w:val="28"/>
          <w:szCs w:val="28"/>
        </w:rPr>
        <w:t xml:space="preserve">等体育活动。 4、安全的原则。在大课间体育活动的组织与实施过程中，加强安全教育和管理，制定出必要的安全措施、应急措施，避免和防止意外事故的发生。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组织领导 （一）领导小组 组 长：</w:t>
      </w:r>
      <w:r>
        <w:rPr>
          <w:rFonts w:hint="eastAsia"/>
          <w:sz w:val="28"/>
          <w:szCs w:val="28"/>
          <w:lang w:eastAsia="zh-CN"/>
        </w:rPr>
        <w:t>王劲松</w:t>
      </w:r>
      <w:r>
        <w:rPr>
          <w:rFonts w:hint="eastAsia"/>
          <w:sz w:val="28"/>
          <w:szCs w:val="28"/>
        </w:rPr>
        <w:t xml:space="preserve"> 副组长：</w:t>
      </w:r>
      <w:r>
        <w:rPr>
          <w:rFonts w:hint="eastAsia"/>
          <w:sz w:val="28"/>
          <w:szCs w:val="28"/>
          <w:lang w:eastAsia="zh-CN"/>
        </w:rPr>
        <w:t>史利民</w:t>
      </w:r>
      <w:r>
        <w:rPr>
          <w:rFonts w:hint="eastAsia"/>
          <w:sz w:val="28"/>
          <w:szCs w:val="28"/>
        </w:rPr>
        <w:t xml:space="preserve"> 成 员：</w:t>
      </w:r>
      <w:r>
        <w:rPr>
          <w:rFonts w:hint="eastAsia"/>
          <w:sz w:val="28"/>
          <w:szCs w:val="28"/>
          <w:lang w:eastAsia="zh-CN"/>
        </w:rPr>
        <w:t>张尤胜、钟明、朱明彩、胡亮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职 责：负责组织领导“大课间体育活动”的实施、指导、检查和评比工作，保证“大课间体育活动”正常有序开展。 （二）工作小组 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组长：</w:t>
      </w:r>
      <w:r>
        <w:rPr>
          <w:rFonts w:hint="eastAsia"/>
          <w:sz w:val="28"/>
          <w:szCs w:val="28"/>
          <w:lang w:eastAsia="zh-CN"/>
        </w:rPr>
        <w:t>刘荣学、陈勇</w:t>
      </w:r>
      <w:r>
        <w:rPr>
          <w:rFonts w:hint="eastAsia"/>
          <w:sz w:val="28"/>
          <w:szCs w:val="28"/>
        </w:rPr>
        <w:t xml:space="preserve"> 组 员：各班班主任  </w:t>
      </w:r>
      <w:r>
        <w:rPr>
          <w:rFonts w:hint="eastAsia"/>
          <w:sz w:val="28"/>
          <w:szCs w:val="28"/>
          <w:lang w:eastAsia="zh-CN"/>
        </w:rPr>
        <w:t>体育教师</w:t>
      </w:r>
      <w:r>
        <w:rPr>
          <w:rFonts w:hint="eastAsia"/>
          <w:sz w:val="28"/>
          <w:szCs w:val="28"/>
        </w:rPr>
        <w:t xml:space="preserve">负责“大课间体育活动”的具体实施，包括拟定方案、制作音乐、组织训练等。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四、活动内容 现阶段大课间体育活动的内容，包括广播体操和体育活动</w:t>
      </w:r>
      <w:r>
        <w:rPr>
          <w:rFonts w:hint="eastAsia"/>
          <w:sz w:val="28"/>
          <w:szCs w:val="28"/>
          <w:lang w:eastAsia="zh-CN"/>
        </w:rPr>
        <w:t>两</w:t>
      </w:r>
      <w:r>
        <w:rPr>
          <w:rFonts w:hint="eastAsia"/>
          <w:sz w:val="28"/>
          <w:szCs w:val="28"/>
        </w:rPr>
        <w:t>个部分，在作息时间表规定的3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分钟内进行。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(一）“大课间活动”在每天上午</w:t>
      </w:r>
      <w:r>
        <w:rPr>
          <w:rFonts w:hint="eastAsia"/>
          <w:sz w:val="28"/>
          <w:szCs w:val="28"/>
          <w:lang w:eastAsia="zh-CN"/>
        </w:rPr>
        <w:t>早自习后或</w:t>
      </w:r>
      <w:r>
        <w:rPr>
          <w:rFonts w:hint="eastAsia"/>
          <w:sz w:val="28"/>
          <w:szCs w:val="28"/>
        </w:rPr>
        <w:t>第二节课后进行，时间为3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 xml:space="preserve">分钟。采用广播操、各种体育活动相结合的形式，以音乐为背景串联活动过程。各班级以班级为单位参加大课间活动，班主任要组织好学生有序地参加各项活动。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）遇雨雪等异常天气，由各班班主任统一安排学生在教室内</w:t>
      </w:r>
      <w:r>
        <w:rPr>
          <w:rFonts w:hint="eastAsia"/>
          <w:sz w:val="28"/>
          <w:szCs w:val="28"/>
          <w:lang w:eastAsia="zh-CN"/>
        </w:rPr>
        <w:t>做室内操或在</w:t>
      </w:r>
      <w:r>
        <w:rPr>
          <w:rFonts w:hint="eastAsia"/>
          <w:sz w:val="28"/>
          <w:szCs w:val="28"/>
        </w:rPr>
        <w:t>走廊上进行素质练习，</w:t>
      </w:r>
      <w:r>
        <w:rPr>
          <w:rFonts w:hint="eastAsia"/>
          <w:sz w:val="28"/>
          <w:szCs w:val="28"/>
          <w:lang w:eastAsia="zh-CN"/>
        </w:rPr>
        <w:t>体育</w:t>
      </w:r>
      <w:r>
        <w:rPr>
          <w:rFonts w:hint="eastAsia"/>
          <w:sz w:val="28"/>
          <w:szCs w:val="28"/>
        </w:rPr>
        <w:t xml:space="preserve">组负责安排练习内容和指挥练习。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活动流程 1、大课间活动（3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分钟） ⑴学生有序入场及</w:t>
      </w:r>
      <w:r>
        <w:rPr>
          <w:rFonts w:hint="eastAsia"/>
          <w:sz w:val="28"/>
          <w:szCs w:val="28"/>
          <w:lang w:eastAsia="zh-CN"/>
        </w:rPr>
        <w:t>广播</w:t>
      </w:r>
      <w:r>
        <w:rPr>
          <w:rFonts w:hint="eastAsia"/>
          <w:sz w:val="28"/>
          <w:szCs w:val="28"/>
        </w:rPr>
        <w:t>操（1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 xml:space="preserve">分钟）：出操音乐响起，各班学生迅速在室外走廊站成两路纵队，随音乐依次有序下楼，到达操场指定位置做广播体操。 ⑵体育活动（15分钟）：由学校统一安排，各班进行各项体育活动。 ⑶放松活动（3分钟）：各班学生伴着音乐，统一做放松操。 ⑷学生有序离场（2分钟）：在音乐声中，有序地离开活动场地，以良好的状态投入课堂学习。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实施方法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明确职责 大课间活动管理与组织者是校长室、政教处、教导处、班主任和体育教师，实行责任制管理。 1、大课间活动实行校长负责制。学校大课间活动由校长具体负责，积极参与大课间活动，了解活动情况检查活动质量，发现问题及时解决。 2、班主任要教育和鼓励全班学生积极参与大课间活动，增强学生的集体荣誉感。所有</w:t>
      </w:r>
      <w:r>
        <w:rPr>
          <w:rFonts w:hint="eastAsia"/>
          <w:sz w:val="28"/>
          <w:szCs w:val="28"/>
          <w:lang w:eastAsia="zh-CN"/>
        </w:rPr>
        <w:t>班主任</w:t>
      </w:r>
      <w:r>
        <w:rPr>
          <w:rFonts w:hint="eastAsia"/>
          <w:sz w:val="28"/>
          <w:szCs w:val="28"/>
        </w:rPr>
        <w:t xml:space="preserve">要每天参与班级的大课间活动，及时检查、了解、监督、管理本班大课间活动情况，发现问题及时处理，保证大课间活动质量，同时负责活动安全工作。 3、体育老师具体负责大课间活动的组织和实施。引导全体教师积极参与大课间活动，负责指挥和示范，协助班主任工作，确保学生活动的安全。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检查评比 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为了保证大课间活动质量，学校</w:t>
      </w:r>
      <w:r>
        <w:rPr>
          <w:rFonts w:hint="eastAsia"/>
          <w:sz w:val="28"/>
          <w:szCs w:val="28"/>
          <w:lang w:eastAsia="zh-CN"/>
        </w:rPr>
        <w:t>每天安排专人进行</w:t>
      </w:r>
      <w:r>
        <w:rPr>
          <w:rFonts w:hint="eastAsia"/>
          <w:sz w:val="28"/>
          <w:szCs w:val="28"/>
        </w:rPr>
        <w:t>检查，实行量化评分。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成果展示 学校将于每年4月—6月和11月----12月开展校园广播操、</w:t>
      </w:r>
      <w:r>
        <w:rPr>
          <w:rFonts w:hint="eastAsia"/>
          <w:sz w:val="28"/>
          <w:szCs w:val="28"/>
          <w:lang w:eastAsia="zh-CN"/>
        </w:rPr>
        <w:t>跑操、跳绳</w:t>
      </w:r>
      <w:r>
        <w:rPr>
          <w:rFonts w:hint="eastAsia"/>
          <w:sz w:val="28"/>
          <w:szCs w:val="28"/>
        </w:rPr>
        <w:t xml:space="preserve">等比赛，全面检验大课间活动的开展质量。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活动要求 1、注意有序开展活动，安全第一。政教处、教导处、班主任必须强调大课间活动纪律与安全，并协助体育教师指导学生安全活动。 2、各项目活动必须在规定的活动区域进行，各班学生必须在指定活动范围内活动，防止出现学生乱串、乱跑的混乱现象。 3、负责日常管理值班的领导、值日教师和执勤教师要认真做好当天记录。 4、所有负责老师和全体班主任要及时到位进行现场指导，督促学生安全活动。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活动保障 1、认真学习，转变观念，达成共识 以贯彻落实《中共中央国务院关于加强青少年体育增强青少年体质的意见》为主旨，组织老师认真学习《阳光大课间》文件，了解学生发展之需，使广大教师深刻体会到：拥有健康才能拥有明天，热爱锻炼就是热爱生命，在深化课程改革，全面提高质量的工作中，注入快乐体育的全新理念，确立合作、竞争、快乐、主动、健康发展的体育工作观。 2、加强领导，保证时间，形成制度 以将快乐体育、趣味体育引入体育活动为主旨，强化活动的领导与管理，在活动的内容与形式、过程与评价上形成有效管理，充分挖掘校内外各种体育课程资源，不断丰富和发展活动的内涵，不断提升活动水平。制定安全应急预案，确保学生安全。 3、全员参与，注重评价，强化激励 坚持学生全员参与，学校党政工团紧密配合，教职工全员协作，突出活动的评价作用，对先进班级和个人予以适时激励，并将各种评价资料存档，作为学期考核评价的一项重要内容，纳入领导、班主任、老师、学生系列考评中，以保证学校体育大课间活动的有效开展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 xml:space="preserve">  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ind w:firstLine="3640" w:firstLineChars="13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桃红中学校长室、德育处、体育组</w:t>
      </w:r>
    </w:p>
    <w:p>
      <w:pPr>
        <w:numPr>
          <w:ilvl w:val="0"/>
          <w:numId w:val="0"/>
        </w:numPr>
        <w:ind w:firstLine="5320" w:firstLineChars="19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2018年2月2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0日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ind w:firstLine="1807" w:firstLineChars="500"/>
        <w:jc w:val="both"/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桃红中学大课间检查评细则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为了增强师生健康生活的理念，拥有健康的身体，促进我校大课间活动的正常有序开展，活动质量越来越好，结合学校德育工作、班级考核等等要求，大家研究后制定此评分标准。</w:t>
      </w:r>
    </w:p>
    <w:p>
      <w:pPr>
        <w:numPr>
          <w:ilvl w:val="0"/>
          <w:numId w:val="5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服装：要求服装统一（按照学校要求穿的时间开始统计），</w:t>
      </w:r>
      <w:r>
        <w:rPr>
          <w:rFonts w:hint="eastAsia"/>
          <w:sz w:val="28"/>
          <w:szCs w:val="28"/>
          <w:lang w:val="en-US" w:eastAsia="zh-CN"/>
        </w:rPr>
        <w:t>2分，每套按0.5分计算，扣满2分为止，不再扣分。</w:t>
      </w:r>
    </w:p>
    <w:p>
      <w:pPr>
        <w:numPr>
          <w:ilvl w:val="0"/>
          <w:numId w:val="5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进场：要求按照规定路线两路纵队整齐（1分）、有序，在进场音乐结束之前到达指定位置（1分），共计2分。</w:t>
      </w:r>
    </w:p>
    <w:p>
      <w:pPr>
        <w:numPr>
          <w:ilvl w:val="0"/>
          <w:numId w:val="5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班主任参与：要求每位班主任在规定时间到达操场，及时指导学生（2分），外出活动视作参与，2分。</w:t>
      </w:r>
    </w:p>
    <w:p>
      <w:pPr>
        <w:numPr>
          <w:ilvl w:val="0"/>
          <w:numId w:val="5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广播操：要求动作到位（1分）、合拍（1分）、整齐（1分）、连贯（1分），共计分。</w:t>
      </w:r>
    </w:p>
    <w:p>
      <w:pPr>
        <w:numPr>
          <w:ilvl w:val="0"/>
          <w:numId w:val="5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跑操：要求队形整齐（1分）、精神饱满（1分）、口号响亮（1分）、无嬉戏打闹（1分），共计4分。</w:t>
      </w:r>
    </w:p>
    <w:p>
      <w:pPr>
        <w:numPr>
          <w:ilvl w:val="0"/>
          <w:numId w:val="5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跳绳、立定跳远：要求按照统一规定完成规定练习次数，无偷懒、逃避练习，发现不按规定练习每人扣1分，共计4分。</w:t>
      </w:r>
    </w:p>
    <w:p>
      <w:pPr>
        <w:numPr>
          <w:ilvl w:val="0"/>
          <w:numId w:val="5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退场：要求规定路线整齐、快速、有序、安全，无打闹嬉戏，共计2分。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说明：评分人员严格按照细则逐项评分，秉着公平、公正、公开的原则。</w:t>
      </w:r>
    </w:p>
    <w:p>
      <w:pPr>
        <w:numPr>
          <w:ilvl w:val="0"/>
          <w:numId w:val="0"/>
        </w:numPr>
        <w:ind w:firstLine="1928" w:firstLineChars="6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1928" w:firstLineChars="6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1928" w:firstLineChars="600"/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桃红中学大课间检查评比表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时间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天气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检查人员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</w:t>
      </w: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服装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2分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班主任参与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2分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进场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2分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广播操4分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跑操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4分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跳绳、跳远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4分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退场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2分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合计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20分</w:t>
            </w:r>
          </w:p>
        </w:tc>
        <w:tc>
          <w:tcPr>
            <w:tcW w:w="847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扣分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初一（1）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4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初一（2）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4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初一（3）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4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初一（4）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4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初二（1）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4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初二（2）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4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初二（3）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4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初二（4）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4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初三（1）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4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初三（2）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4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初三（3）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4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初三（4）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4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异常情况说明</w:t>
            </w:r>
          </w:p>
        </w:tc>
        <w:tc>
          <w:tcPr>
            <w:tcW w:w="7665" w:type="dxa"/>
            <w:gridSpan w:val="9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江宁区桃红中学阳光大课间活动成果展示</w:t>
      </w:r>
    </w:p>
    <w:p>
      <w:pPr>
        <w:numPr>
          <w:ilvl w:val="0"/>
          <w:numId w:val="0"/>
        </w:numPr>
        <w:ind w:firstLine="4200" w:firstLineChars="15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-----------暨阳光体育活动单项竞赛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指导思想 开展“阳光大课间”活动，以“走向操场、走进大自然、走到阳光下” 为活动主题。旨在全面贯彻落实“健康第一”指导思想，落实学生每天体育活动一小时，全面推进素质教育，提高学生身体素质，增进学生身心健康，真正为学生未来可持续发展奠基。 </w:t>
      </w:r>
      <w:r>
        <w:rPr>
          <w:rFonts w:hint="eastAsia"/>
          <w:sz w:val="28"/>
          <w:szCs w:val="28"/>
          <w:lang w:eastAsia="zh-CN"/>
        </w:rPr>
        <w:t>同时为了检测我校大课间活动成效，共同提高，结合单项竞赛的原则举行比赛。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比赛项目：广播操、跑操、跳绳、立定跳远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组织机构：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组委会成员   王劲松、张尤胜、史利民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组员   钟明、姚宝国、胡亮、穆明顺、张军、朱明彩、夏芳、余根平、王祖龙、王德力、陈勇、刘荣学、胡明勇、姚金勇、各班班主任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比赛时间：1、11月举行广播操、立定跳远比赛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960" w:firstLineChars="7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2、12月举行跑操、跳绳比赛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960" w:firstLineChars="7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3、4月举行广播操比赛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960" w:firstLineChars="7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4、5月举行跑操、跳绳比赛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960" w:firstLineChars="7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5、6月举行立定跳远比赛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比赛场地：桃红中学田径场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比赛组织：各班班主任具体负责本班学生训练、参赛，裁判员由组委会成员担当。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组织形式：1、广播操、跑操以班级为单位，全校分4组，每组每个年级一个班，抽签决定出场顺序。2、跳绳、立定跳远按照每班男女各20人，以每人比赛一次成绩累计总成绩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奖励办法：比赛按每项目总分录取一等奖2名，二等奖3名，三等奖4名，鼓励奖若干，并且与班级当月考核挂钩。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3640" w:firstLineChars="13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桃红中学校长室、德育处、体育组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40" w:firstLineChars="23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2017.9.10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866775</wp:posOffset>
            </wp:positionV>
            <wp:extent cx="5266055" cy="7021830"/>
            <wp:effectExtent l="0" t="0" r="10795" b="7620"/>
            <wp:wrapTight wrapText="bothSides">
              <wp:wrapPolygon>
                <wp:start x="0" y="0"/>
                <wp:lineTo x="0" y="21565"/>
                <wp:lineTo x="21488" y="21565"/>
                <wp:lineTo x="21488" y="0"/>
                <wp:lineTo x="0" y="0"/>
              </wp:wrapPolygon>
            </wp:wrapTight>
            <wp:docPr id="2" name="图片 2" descr="IMG20171121103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1711211037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/>
          <w:sz w:val="48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FB4A0"/>
    <w:multiLevelType w:val="singleLevel"/>
    <w:tmpl w:val="59BFB4A0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BFB65B"/>
    <w:multiLevelType w:val="singleLevel"/>
    <w:tmpl w:val="59BFB65B"/>
    <w:lvl w:ilvl="0" w:tentative="0">
      <w:start w:val="5"/>
      <w:numFmt w:val="chineseCounting"/>
      <w:suff w:val="nothing"/>
      <w:lvlText w:val="%1、"/>
      <w:lvlJc w:val="left"/>
    </w:lvl>
  </w:abstractNum>
  <w:abstractNum w:abstractNumId="2">
    <w:nsid w:val="59BFB6C6"/>
    <w:multiLevelType w:val="singleLevel"/>
    <w:tmpl w:val="59BFB6C6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59BFB708"/>
    <w:multiLevelType w:val="singleLevel"/>
    <w:tmpl w:val="59BFB708"/>
    <w:lvl w:ilvl="0" w:tentative="0">
      <w:start w:val="7"/>
      <w:numFmt w:val="chineseCounting"/>
      <w:suff w:val="nothing"/>
      <w:lvlText w:val="%1、"/>
      <w:lvlJc w:val="left"/>
    </w:lvl>
  </w:abstractNum>
  <w:abstractNum w:abstractNumId="4">
    <w:nsid w:val="59C0649B"/>
    <w:multiLevelType w:val="singleLevel"/>
    <w:tmpl w:val="59C0649B"/>
    <w:lvl w:ilvl="0" w:tentative="0">
      <w:start w:val="1"/>
      <w:numFmt w:val="chineseCounting"/>
      <w:suff w:val="nothing"/>
      <w:lvlText w:val="%1、"/>
      <w:lvlJc w:val="left"/>
    </w:lvl>
  </w:abstractNum>
  <w:abstractNum w:abstractNumId="5">
    <w:nsid w:val="59C07DF1"/>
    <w:multiLevelType w:val="singleLevel"/>
    <w:tmpl w:val="59C07DF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41E7E"/>
    <w:rsid w:val="105651B9"/>
    <w:rsid w:val="12EC522B"/>
    <w:rsid w:val="13494D15"/>
    <w:rsid w:val="1C1D714B"/>
    <w:rsid w:val="1C6A4775"/>
    <w:rsid w:val="21D76779"/>
    <w:rsid w:val="3EC34E87"/>
    <w:rsid w:val="45BF123A"/>
    <w:rsid w:val="4F941E7E"/>
    <w:rsid w:val="532542D8"/>
    <w:rsid w:val="586208F9"/>
    <w:rsid w:val="590B78F7"/>
    <w:rsid w:val="59D40340"/>
    <w:rsid w:val="65E86E51"/>
    <w:rsid w:val="71377111"/>
    <w:rsid w:val="783850F2"/>
    <w:rsid w:val="788D69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2017-09-18T11:52:00Z</dcterms:created>
  <dc:creator>THTF</dc:creator>
  <cp:lastModifiedBy>THTF</cp:lastModifiedBy>
  <cp:lastPrinted>2017-09-18T12:30:00Z</cp:lastPrinted>
  <dcterms:modified xsi:type="dcterms:W3CDTF">2018-05-14T09:39:24Z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